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14:paraId="6544666F" w14:textId="77777777" w:rsidTr="00897704">
        <w:trPr>
          <w:trHeight w:val="440"/>
        </w:trPr>
        <w:tc>
          <w:tcPr>
            <w:tcW w:w="10042" w:type="dxa"/>
            <w:shd w:val="clear" w:color="auto" w:fill="auto"/>
          </w:tcPr>
          <w:p w14:paraId="53224881" w14:textId="08455827" w:rsidR="00446480" w:rsidRDefault="00446480" w:rsidP="002E0890">
            <w:pPr>
              <w:pStyle w:val="14bldcentr"/>
            </w:pPr>
            <w:r>
              <w:t xml:space="preserve">ADDENDUM </w:t>
            </w:r>
            <w:r w:rsidR="0057021D">
              <w:t>1,</w:t>
            </w:r>
            <w:r>
              <w:t xml:space="preserve"> REVISED SCHEDULE OF EVENTS</w:t>
            </w:r>
          </w:p>
        </w:tc>
      </w:tr>
    </w:tbl>
    <w:p w14:paraId="0C1AADE8" w14:textId="77777777" w:rsidR="000A7F6D" w:rsidRDefault="000A7F6D" w:rsidP="002E0890">
      <w:pPr>
        <w:pStyle w:val="14bldcentr"/>
      </w:pPr>
    </w:p>
    <w:p w14:paraId="768E613D" w14:textId="77777777" w:rsidR="007124F4" w:rsidRPr="00BD5697" w:rsidRDefault="007124F4" w:rsidP="002E0890">
      <w:pPr>
        <w:pStyle w:val="Level1Body"/>
      </w:pPr>
    </w:p>
    <w:p w14:paraId="4F3557B2" w14:textId="77777777" w:rsidR="007124F4" w:rsidRPr="00BD5697" w:rsidRDefault="007124F4" w:rsidP="002E0890">
      <w:pPr>
        <w:pStyle w:val="Level1Body"/>
      </w:pPr>
    </w:p>
    <w:p w14:paraId="4C722F4A" w14:textId="2ECA8E5B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57021D">
        <w:t>3/1/2024</w:t>
      </w:r>
    </w:p>
    <w:p w14:paraId="538D0BBD" w14:textId="77777777" w:rsidR="007124F4" w:rsidRPr="00BD5697" w:rsidRDefault="007124F4" w:rsidP="002E0890">
      <w:pPr>
        <w:pStyle w:val="Level1Body"/>
      </w:pPr>
    </w:p>
    <w:p w14:paraId="6508340A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06C1506F" w14:textId="77777777" w:rsidR="007124F4" w:rsidRPr="00BD5697" w:rsidRDefault="007124F4" w:rsidP="002E0890">
      <w:pPr>
        <w:pStyle w:val="Level1Body"/>
      </w:pPr>
    </w:p>
    <w:p w14:paraId="41375BE9" w14:textId="5A425A26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57021D">
        <w:t>Nebraska Public Service Commission</w:t>
      </w:r>
      <w:r w:rsidRPr="00BD5697">
        <w:t>, Buyer</w:t>
      </w:r>
    </w:p>
    <w:p w14:paraId="03CDCC38" w14:textId="0FDE0FD7" w:rsidR="007124F4" w:rsidRDefault="0057021D" w:rsidP="002E0890">
      <w:pPr>
        <w:pStyle w:val="Level3Body"/>
      </w:pPr>
      <w:r>
        <w:t>Nebraska Public Service Commission</w:t>
      </w:r>
    </w:p>
    <w:p w14:paraId="09203A44" w14:textId="77777777" w:rsidR="002E4E3B" w:rsidRDefault="002E4E3B" w:rsidP="002E0890">
      <w:pPr>
        <w:pStyle w:val="Level1Body"/>
      </w:pPr>
    </w:p>
    <w:p w14:paraId="346805D7" w14:textId="5B15787D"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57021D">
        <w:t>Request for Proposal</w:t>
      </w:r>
      <w:r w:rsidR="009318A1">
        <w:t xml:space="preserve"> </w:t>
      </w:r>
      <w:r w:rsidR="00AB1852" w:rsidRPr="00BD5697">
        <w:t xml:space="preserve">Number </w:t>
      </w:r>
      <w:r w:rsidR="0057021D">
        <w:t>PSC-TRS-2023-1</w:t>
      </w:r>
      <w:r w:rsidR="009318A1">
        <w:t xml:space="preserve"> </w:t>
      </w:r>
      <w:r w:rsidR="006A5040">
        <w:t xml:space="preserve">to be opened </w:t>
      </w:r>
      <w:r w:rsidR="0057021D">
        <w:t xml:space="preserve">March 8, 2024 </w:t>
      </w:r>
      <w:r w:rsidR="006A5040">
        <w:t>at 2:00 p.m. Central Time</w:t>
      </w:r>
    </w:p>
    <w:p w14:paraId="15B4D95B" w14:textId="04C7C8B0" w:rsidR="007124F4" w:rsidRPr="00BD5697" w:rsidRDefault="007124F4" w:rsidP="006A5040">
      <w:pPr>
        <w:pStyle w:val="Level3Body"/>
      </w:pPr>
    </w:p>
    <w:p w14:paraId="56034023" w14:textId="71765F10" w:rsidR="007124F4" w:rsidRPr="00BD5697" w:rsidRDefault="0057021D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123BFDF" wp14:editId="63814664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F8FB7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55C074E0" w14:textId="77777777" w:rsidR="007124F4" w:rsidRPr="00BD5697" w:rsidRDefault="007124F4" w:rsidP="002E4E3B">
      <w:pPr>
        <w:pStyle w:val="Level1Body"/>
        <w:sectPr w:rsidR="007124F4" w:rsidRPr="00BD5697" w:rsidSect="00897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5350A05F" w14:textId="77777777"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14:paraId="57254509" w14:textId="77777777" w:rsidR="00FC03CF" w:rsidRPr="00BD5697" w:rsidRDefault="00FC03CF" w:rsidP="002E0890">
      <w:pPr>
        <w:pStyle w:val="Level1Body"/>
      </w:pPr>
    </w:p>
    <w:p w14:paraId="4BD65305" w14:textId="77777777" w:rsidR="0027091D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14:paraId="783BBE1B" w14:textId="77777777" w:rsidR="00FC03CF" w:rsidRDefault="00FC03CF" w:rsidP="002E0890">
      <w:pPr>
        <w:pStyle w:val="Level1Body"/>
      </w:pPr>
    </w:p>
    <w:p w14:paraId="39F8C880" w14:textId="77777777" w:rsidR="00446480" w:rsidRPr="00446480" w:rsidRDefault="00446480" w:rsidP="002E0890">
      <w:pPr>
        <w:pStyle w:val="Level1Body"/>
        <w:rPr>
          <w:i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14:paraId="0AC3CDB8" w14:textId="7777777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83097FD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B439550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A44C9E" w:rsidRPr="00664F27" w14:paraId="2BF5D568" w14:textId="77777777" w:rsidTr="00446480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14:paraId="14B7D367" w14:textId="77777777" w:rsidR="00A44C9E" w:rsidRPr="00664F27" w:rsidRDefault="00A44C9E" w:rsidP="0057021D">
            <w:pPr>
              <w:pStyle w:val="rfpformnumbers"/>
            </w:pPr>
            <w:r w:rsidRPr="00664F27">
              <w:t>1</w:t>
            </w:r>
          </w:p>
        </w:tc>
        <w:tc>
          <w:tcPr>
            <w:tcW w:w="6268" w:type="dxa"/>
            <w:tcBorders>
              <w:top w:val="single" w:sz="6" w:space="0" w:color="auto"/>
            </w:tcBorders>
          </w:tcPr>
          <w:p w14:paraId="6B35DBCD" w14:textId="544E2CE6" w:rsidR="00A44C9E" w:rsidRPr="006D6DD0" w:rsidRDefault="0057021D" w:rsidP="006D6DD0">
            <w:pPr>
              <w:pStyle w:val="Level1Body"/>
              <w:rPr>
                <w:szCs w:val="22"/>
              </w:rPr>
            </w:pPr>
            <w:r>
              <w:t>Proposal Opening – Online Via WebEx</w:t>
            </w:r>
          </w:p>
        </w:tc>
        <w:tc>
          <w:tcPr>
            <w:tcW w:w="2898" w:type="dxa"/>
            <w:tcBorders>
              <w:top w:val="single" w:sz="6" w:space="0" w:color="auto"/>
            </w:tcBorders>
          </w:tcPr>
          <w:p w14:paraId="701A4BAE" w14:textId="77777777" w:rsidR="0057021D" w:rsidRDefault="0057021D" w:rsidP="00773BD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Date/Time has not changed – Updated WebEx Access Code is: 146 153 5285</w:t>
            </w:r>
          </w:p>
          <w:p w14:paraId="47B5FE9E" w14:textId="73F58209" w:rsidR="00A44C9E" w:rsidRPr="00773BDE" w:rsidRDefault="0057021D" w:rsidP="00773BD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Updated Dial in number is: 469-210-7159</w:t>
            </w:r>
            <w:r w:rsidR="00A44C9E" w:rsidRPr="00773BDE">
              <w:rPr>
                <w:b/>
                <w:bCs/>
                <w:color w:val="FF0000"/>
              </w:rPr>
              <w:t xml:space="preserve"> </w:t>
            </w:r>
          </w:p>
        </w:tc>
      </w:tr>
    </w:tbl>
    <w:p w14:paraId="2FF4D348" w14:textId="77777777" w:rsidR="00A44C9E" w:rsidRPr="00BD5697" w:rsidRDefault="00A44C9E" w:rsidP="002E4E3B">
      <w:pPr>
        <w:pStyle w:val="Level1Body"/>
      </w:pPr>
    </w:p>
    <w:p w14:paraId="5E5A4586" w14:textId="77777777" w:rsidR="00FC03CF" w:rsidRPr="00BD5697" w:rsidRDefault="00FC03CF" w:rsidP="002E4E3B">
      <w:pPr>
        <w:pStyle w:val="Level1Body"/>
      </w:pPr>
    </w:p>
    <w:p w14:paraId="482A13C0" w14:textId="3FB9E3CB"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DA7CD3" w:rsidRPr="00BD5697">
        <w:t>proposal</w:t>
      </w:r>
      <w:r w:rsidR="00046E98">
        <w:t xml:space="preserve"> </w:t>
      </w:r>
      <w:r w:rsidRPr="00BD5697">
        <w:t xml:space="preserve">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</w:t>
      </w:r>
      <w:r w:rsidR="00DA7CD3" w:rsidRPr="00BD5697">
        <w:t xml:space="preserve"> </w:t>
      </w:r>
      <w:r w:rsidR="0057021D">
        <w:t>Request for Proposal</w:t>
      </w:r>
      <w:r w:rsidRPr="00BD5697">
        <w:t>.</w:t>
      </w:r>
    </w:p>
    <w:p w14:paraId="11448013" w14:textId="77777777" w:rsidR="007124F4" w:rsidRPr="00BD5697" w:rsidRDefault="007124F4" w:rsidP="002E4E3B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0BF20BC8" w14:textId="77777777" w:rsidR="007124F4" w:rsidRDefault="007124F4" w:rsidP="00FE0CB5"/>
    <w:p w14:paraId="5FBAB7F1" w14:textId="77777777" w:rsidR="00D478E0" w:rsidRDefault="00D478E0" w:rsidP="00FE0CB5"/>
    <w:p w14:paraId="192F92E9" w14:textId="77777777" w:rsidR="00D478E0" w:rsidRDefault="00D478E0" w:rsidP="00FE0CB5"/>
    <w:sectPr w:rsidR="00D478E0" w:rsidSect="00897704">
      <w:footerReference w:type="default" r:id="rId14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8145" w14:textId="77777777" w:rsidR="00E2607C" w:rsidRDefault="00E2607C">
      <w:r>
        <w:separator/>
      </w:r>
    </w:p>
  </w:endnote>
  <w:endnote w:type="continuationSeparator" w:id="0">
    <w:p w14:paraId="59E82EB6" w14:textId="77777777" w:rsidR="00E2607C" w:rsidRDefault="00E2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FEBF" w14:textId="77777777"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EBD6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EE6A" w14:textId="77777777"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A6D8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E11B" w14:textId="77777777" w:rsidR="00E2607C" w:rsidRDefault="00E2607C">
      <w:r>
        <w:separator/>
      </w:r>
    </w:p>
  </w:footnote>
  <w:footnote w:type="continuationSeparator" w:id="0">
    <w:p w14:paraId="6987D9A0" w14:textId="77777777" w:rsidR="00E2607C" w:rsidRDefault="00E2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343" w14:textId="77777777"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8CAA" w14:textId="77777777"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79D5" w14:textId="77777777"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9856B116"/>
    <w:lvl w:ilvl="0">
      <w:start w:val="4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94466683">
    <w:abstractNumId w:val="13"/>
  </w:num>
  <w:num w:numId="2" w16cid:durableId="971639798">
    <w:abstractNumId w:val="23"/>
  </w:num>
  <w:num w:numId="3" w16cid:durableId="2068792895">
    <w:abstractNumId w:val="27"/>
  </w:num>
  <w:num w:numId="4" w16cid:durableId="319116128">
    <w:abstractNumId w:val="11"/>
  </w:num>
  <w:num w:numId="5" w16cid:durableId="830022030">
    <w:abstractNumId w:val="29"/>
  </w:num>
  <w:num w:numId="6" w16cid:durableId="1583952056">
    <w:abstractNumId w:val="32"/>
  </w:num>
  <w:num w:numId="7" w16cid:durableId="1565070798">
    <w:abstractNumId w:val="16"/>
  </w:num>
  <w:num w:numId="8" w16cid:durableId="115105931">
    <w:abstractNumId w:val="12"/>
  </w:num>
  <w:num w:numId="9" w16cid:durableId="1721978383">
    <w:abstractNumId w:val="28"/>
  </w:num>
  <w:num w:numId="10" w16cid:durableId="300893137">
    <w:abstractNumId w:val="20"/>
  </w:num>
  <w:num w:numId="11" w16cid:durableId="1297487446">
    <w:abstractNumId w:val="17"/>
  </w:num>
  <w:num w:numId="12" w16cid:durableId="700590300">
    <w:abstractNumId w:val="21"/>
  </w:num>
  <w:num w:numId="13" w16cid:durableId="528877213">
    <w:abstractNumId w:val="25"/>
  </w:num>
  <w:num w:numId="14" w16cid:durableId="1492453868">
    <w:abstractNumId w:val="31"/>
  </w:num>
  <w:num w:numId="15" w16cid:durableId="2060549279">
    <w:abstractNumId w:val="10"/>
  </w:num>
  <w:num w:numId="16" w16cid:durableId="1380782975">
    <w:abstractNumId w:val="26"/>
  </w:num>
  <w:num w:numId="17" w16cid:durableId="693265730">
    <w:abstractNumId w:val="24"/>
  </w:num>
  <w:num w:numId="18" w16cid:durableId="1517570999">
    <w:abstractNumId w:val="14"/>
  </w:num>
  <w:num w:numId="19" w16cid:durableId="457574518">
    <w:abstractNumId w:val="15"/>
  </w:num>
  <w:num w:numId="20" w16cid:durableId="2033339085">
    <w:abstractNumId w:val="30"/>
  </w:num>
  <w:num w:numId="21" w16cid:durableId="54359426">
    <w:abstractNumId w:val="22"/>
  </w:num>
  <w:num w:numId="22" w16cid:durableId="2098402259">
    <w:abstractNumId w:val="9"/>
  </w:num>
  <w:num w:numId="23" w16cid:durableId="1012293838">
    <w:abstractNumId w:val="7"/>
  </w:num>
  <w:num w:numId="24" w16cid:durableId="300574532">
    <w:abstractNumId w:val="6"/>
  </w:num>
  <w:num w:numId="25" w16cid:durableId="429132414">
    <w:abstractNumId w:val="5"/>
  </w:num>
  <w:num w:numId="26" w16cid:durableId="320037854">
    <w:abstractNumId w:val="4"/>
  </w:num>
  <w:num w:numId="27" w16cid:durableId="1539471585">
    <w:abstractNumId w:val="8"/>
  </w:num>
  <w:num w:numId="28" w16cid:durableId="1761026192">
    <w:abstractNumId w:val="3"/>
  </w:num>
  <w:num w:numId="29" w16cid:durableId="2010523151">
    <w:abstractNumId w:val="2"/>
  </w:num>
  <w:num w:numId="30" w16cid:durableId="1554462360">
    <w:abstractNumId w:val="1"/>
  </w:num>
  <w:num w:numId="31" w16cid:durableId="940990804">
    <w:abstractNumId w:val="0"/>
  </w:num>
  <w:num w:numId="32" w16cid:durableId="1773474900">
    <w:abstractNumId w:val="18"/>
  </w:num>
  <w:num w:numId="33" w16cid:durableId="1575317340">
    <w:abstractNumId w:val="18"/>
  </w:num>
  <w:num w:numId="34" w16cid:durableId="1740398299">
    <w:abstractNumId w:val="18"/>
  </w:num>
  <w:num w:numId="35" w16cid:durableId="1395543508">
    <w:abstractNumId w:val="18"/>
  </w:num>
  <w:num w:numId="36" w16cid:durableId="619728975">
    <w:abstractNumId w:val="18"/>
  </w:num>
  <w:num w:numId="37" w16cid:durableId="136649567">
    <w:abstractNumId w:val="18"/>
  </w:num>
  <w:num w:numId="38" w16cid:durableId="550848192">
    <w:abstractNumId w:val="18"/>
  </w:num>
  <w:num w:numId="39" w16cid:durableId="692341836">
    <w:abstractNumId w:val="19"/>
  </w:num>
  <w:num w:numId="40" w16cid:durableId="13529532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C0E74"/>
    <w:rsid w:val="003F21C7"/>
    <w:rsid w:val="00433F6F"/>
    <w:rsid w:val="00446480"/>
    <w:rsid w:val="00446D8B"/>
    <w:rsid w:val="004B7179"/>
    <w:rsid w:val="00547BB3"/>
    <w:rsid w:val="0057021D"/>
    <w:rsid w:val="0058191C"/>
    <w:rsid w:val="005D1FF3"/>
    <w:rsid w:val="00603A1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6338A"/>
    <w:rsid w:val="00897704"/>
    <w:rsid w:val="008A04EF"/>
    <w:rsid w:val="009318A1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247EF"/>
    <w:rsid w:val="00C2659A"/>
    <w:rsid w:val="00C3059B"/>
    <w:rsid w:val="00CA6C92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2607C"/>
    <w:rsid w:val="00E432A3"/>
    <w:rsid w:val="00E4723E"/>
    <w:rsid w:val="00E80044"/>
    <w:rsid w:val="00EC52C4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C7AC6"/>
  <w15:docId w15:val="{15E855A7-A478-4E1A-A7DE-FC33E7A5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F188-B658-4A80-B6C7-5EF908E3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Robbins, Cullen</cp:lastModifiedBy>
  <cp:revision>2</cp:revision>
  <cp:lastPrinted>2011-03-18T16:09:00Z</cp:lastPrinted>
  <dcterms:created xsi:type="dcterms:W3CDTF">2024-03-01T14:30:00Z</dcterms:created>
  <dcterms:modified xsi:type="dcterms:W3CDTF">2024-03-01T14:30:00Z</dcterms:modified>
</cp:coreProperties>
</file>