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14:paraId="6F405E64" w14:textId="77777777" w:rsidTr="00585C87">
        <w:trPr>
          <w:trHeight w:val="440"/>
          <w:jc w:val="center"/>
        </w:trPr>
        <w:tc>
          <w:tcPr>
            <w:tcW w:w="10042" w:type="dxa"/>
            <w:shd w:val="clear" w:color="auto" w:fill="auto"/>
          </w:tcPr>
          <w:p w14:paraId="792DDB3B" w14:textId="18B57824" w:rsidR="00446480" w:rsidRDefault="00446480" w:rsidP="002E0890">
            <w:pPr>
              <w:pStyle w:val="14bldcentr"/>
            </w:pPr>
            <w:r>
              <w:t xml:space="preserve">ADDENDUM </w:t>
            </w:r>
            <w:r w:rsidRPr="00897704">
              <w:rPr>
                <w:highlight w:val="yellow"/>
              </w:rPr>
              <w:t>&lt;&lt;</w:t>
            </w:r>
            <w:r w:rsidR="00856BA1" w:rsidRPr="00897704">
              <w:rPr>
                <w:highlight w:val="yellow"/>
              </w:rPr>
              <w:t xml:space="preserve"> </w:t>
            </w:r>
            <w:r w:rsidRPr="00897704">
              <w:rPr>
                <w:highlight w:val="yellow"/>
              </w:rPr>
              <w:t>Number&gt;&gt;,</w:t>
            </w:r>
            <w:r>
              <w:t xml:space="preserve"> REVISED SCHEDULE OF EVENTS</w:t>
            </w:r>
          </w:p>
        </w:tc>
      </w:tr>
    </w:tbl>
    <w:p w14:paraId="13721B31" w14:textId="77777777" w:rsidR="000A7F6D" w:rsidRDefault="000A7F6D" w:rsidP="002E0890">
      <w:pPr>
        <w:pStyle w:val="14bldcentr"/>
      </w:pPr>
    </w:p>
    <w:p w14:paraId="1276683E" w14:textId="77777777" w:rsidR="007124F4" w:rsidRPr="00BD5697" w:rsidRDefault="007124F4" w:rsidP="002E0890">
      <w:pPr>
        <w:pStyle w:val="Level1Body"/>
      </w:pPr>
    </w:p>
    <w:p w14:paraId="6389DE46" w14:textId="77777777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bookmarkStart w:id="0" w:name="Text3"/>
      <w:r w:rsidR="00A50158" w:rsidRPr="00A50158">
        <w:rPr>
          <w:highlight w:val="yellow"/>
        </w:rPr>
        <w:fldChar w:fldCharType="begin"/>
      </w:r>
      <w:r w:rsidR="00A50158" w:rsidRPr="00A50158">
        <w:rPr>
          <w:highlight w:val="yellow"/>
        </w:rPr>
        <w:instrText xml:space="preserve"> MERGEFIELD Date </w:instrText>
      </w:r>
      <w:r w:rsidR="00A50158" w:rsidRPr="00A50158">
        <w:rPr>
          <w:highlight w:val="yellow"/>
        </w:rPr>
        <w:fldChar w:fldCharType="separate"/>
      </w:r>
      <w:r w:rsidR="000A7F6D">
        <w:rPr>
          <w:noProof/>
          <w:highlight w:val="yellow"/>
        </w:rPr>
        <w:t>«Date»</w:t>
      </w:r>
      <w:r w:rsidR="00A50158" w:rsidRPr="00A50158">
        <w:rPr>
          <w:highlight w:val="yellow"/>
        </w:rPr>
        <w:fldChar w:fldCharType="end"/>
      </w:r>
      <w:bookmarkEnd w:id="0"/>
    </w:p>
    <w:p w14:paraId="3B2115C5" w14:textId="77777777" w:rsidR="007124F4" w:rsidRPr="00BD5697" w:rsidRDefault="007124F4" w:rsidP="002E0890">
      <w:pPr>
        <w:pStyle w:val="Level1Body"/>
      </w:pPr>
    </w:p>
    <w:p w14:paraId="7F4D0772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49239B4C" w14:textId="77777777" w:rsidR="007124F4" w:rsidRPr="00BD5697" w:rsidRDefault="007124F4" w:rsidP="002E0890">
      <w:pPr>
        <w:pStyle w:val="Level1Body"/>
      </w:pPr>
    </w:p>
    <w:p w14:paraId="76098840" w14:textId="133DE7D0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r w:rsidR="00CE1EA3">
        <w:tab/>
      </w:r>
      <w:r w:rsidR="00A50158" w:rsidRPr="00A50158">
        <w:rPr>
          <w:highlight w:val="yellow"/>
        </w:rPr>
        <w:fldChar w:fldCharType="begin"/>
      </w:r>
      <w:r w:rsidR="00A50158" w:rsidRPr="00A50158">
        <w:rPr>
          <w:highlight w:val="yellow"/>
        </w:rPr>
        <w:instrText xml:space="preserve"> MERGEFIELD Buyer_Name </w:instrText>
      </w:r>
      <w:r w:rsidR="00A50158" w:rsidRPr="00A50158">
        <w:rPr>
          <w:highlight w:val="yellow"/>
        </w:rPr>
        <w:fldChar w:fldCharType="separate"/>
      </w:r>
      <w:r w:rsidR="000A7F6D">
        <w:rPr>
          <w:noProof/>
          <w:highlight w:val="yellow"/>
        </w:rPr>
        <w:t>«Buyer_Name»</w:t>
      </w:r>
      <w:r w:rsidR="00A50158" w:rsidRPr="00A50158">
        <w:rPr>
          <w:highlight w:val="yellow"/>
        </w:rPr>
        <w:fldChar w:fldCharType="end"/>
      </w:r>
    </w:p>
    <w:p w14:paraId="66BCF0B0" w14:textId="77777777" w:rsidR="007124F4" w:rsidRDefault="00A50158" w:rsidP="002E0890">
      <w:pPr>
        <w:pStyle w:val="Level3Body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MERGEFIELD Agency_Name </w:instrText>
      </w:r>
      <w:r>
        <w:rPr>
          <w:highlight w:val="yellow"/>
        </w:rPr>
        <w:fldChar w:fldCharType="separate"/>
      </w:r>
      <w:r w:rsidR="000A7F6D">
        <w:rPr>
          <w:noProof/>
          <w:highlight w:val="yellow"/>
        </w:rPr>
        <w:t>«Agency_Name»</w:t>
      </w:r>
      <w:r>
        <w:rPr>
          <w:highlight w:val="yellow"/>
        </w:rPr>
        <w:fldChar w:fldCharType="end"/>
      </w:r>
      <w:r w:rsidR="007124F4" w:rsidRPr="00BD5697">
        <w:t xml:space="preserve"> </w:t>
      </w:r>
    </w:p>
    <w:p w14:paraId="796A9070" w14:textId="77777777" w:rsidR="002E4E3B" w:rsidRDefault="002E4E3B" w:rsidP="002E0890">
      <w:pPr>
        <w:pStyle w:val="Level1Body"/>
      </w:pPr>
    </w:p>
    <w:p w14:paraId="58D0BCF2" w14:textId="77777777" w:rsidR="00856BA1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856BA1" w:rsidRPr="003D5317">
        <w:rPr>
          <w:szCs w:val="22"/>
          <w:highlight w:val="yellow"/>
        </w:rPr>
        <w:fldChar w:fldCharType="begin"/>
      </w:r>
      <w:r w:rsidR="00856BA1" w:rsidRPr="003D5317">
        <w:rPr>
          <w:szCs w:val="22"/>
          <w:highlight w:val="yellow"/>
        </w:rPr>
        <w:instrText xml:space="preserve"> MERGEFIELD RFP_or_ITB_Number </w:instrText>
      </w:r>
      <w:r w:rsidR="00856BA1" w:rsidRPr="003D5317">
        <w:rPr>
          <w:szCs w:val="22"/>
          <w:highlight w:val="yellow"/>
        </w:rPr>
        <w:fldChar w:fldCharType="separate"/>
      </w:r>
      <w:r w:rsidR="00856BA1" w:rsidRPr="003D5317">
        <w:rPr>
          <w:noProof/>
          <w:szCs w:val="22"/>
          <w:highlight w:val="yellow"/>
        </w:rPr>
        <w:t>«RFP/ITB Number»</w:t>
      </w:r>
      <w:r w:rsidR="00856BA1" w:rsidRPr="003D5317">
        <w:rPr>
          <w:szCs w:val="22"/>
          <w:highlight w:val="yellow"/>
        </w:rPr>
        <w:fldChar w:fldCharType="end"/>
      </w:r>
      <w:r w:rsidR="00856BA1" w:rsidRPr="003D5317">
        <w:rPr>
          <w:szCs w:val="22"/>
        </w:rPr>
        <w:t xml:space="preserve"> </w:t>
      </w:r>
    </w:p>
    <w:p w14:paraId="0834063D" w14:textId="673CD381" w:rsidR="006A5040" w:rsidRPr="00856BA1" w:rsidRDefault="006A5040" w:rsidP="00856BA1">
      <w:pPr>
        <w:pStyle w:val="Level3Body"/>
        <w:rPr>
          <w:szCs w:val="22"/>
        </w:rPr>
      </w:pPr>
      <w:r>
        <w:t xml:space="preserve">to be opened </w:t>
      </w:r>
      <w:r w:rsidR="000A7F6D" w:rsidRPr="000A7F6D">
        <w:rPr>
          <w:highlight w:val="yellow"/>
        </w:rPr>
        <w:fldChar w:fldCharType="begin"/>
      </w:r>
      <w:r w:rsidR="000A7F6D" w:rsidRPr="000A7F6D">
        <w:rPr>
          <w:highlight w:val="yellow"/>
        </w:rPr>
        <w:instrText xml:space="preserve"> MERGEFIELD Opening_Date </w:instrText>
      </w:r>
      <w:r w:rsidR="000A7F6D" w:rsidRPr="000A7F6D">
        <w:rPr>
          <w:highlight w:val="yellow"/>
        </w:rPr>
        <w:fldChar w:fldCharType="separate"/>
      </w:r>
      <w:r w:rsidR="000A7F6D" w:rsidRPr="000A7F6D">
        <w:rPr>
          <w:noProof/>
          <w:highlight w:val="yellow"/>
        </w:rPr>
        <w:t>«Opening_Date»</w:t>
      </w:r>
      <w:r w:rsidR="000A7F6D" w:rsidRPr="000A7F6D">
        <w:rPr>
          <w:highlight w:val="yellow"/>
        </w:rPr>
        <w:fldChar w:fldCharType="end"/>
      </w:r>
      <w:r w:rsidR="000A7F6D">
        <w:t xml:space="preserve"> </w:t>
      </w:r>
      <w:r>
        <w:t xml:space="preserve">at </w:t>
      </w:r>
      <w:r w:rsidR="00856BA1">
        <w:rPr>
          <w:szCs w:val="22"/>
        </w:rPr>
        <w:t>_________</w:t>
      </w:r>
      <w:r w:rsidR="00856BA1" w:rsidRPr="003D5317">
        <w:rPr>
          <w:szCs w:val="22"/>
        </w:rPr>
        <w:t xml:space="preserve"> p.m. </w:t>
      </w:r>
      <w:r w:rsidR="00856BA1">
        <w:rPr>
          <w:szCs w:val="22"/>
        </w:rPr>
        <w:t>CST</w:t>
      </w:r>
    </w:p>
    <w:p w14:paraId="4EDFF4DA" w14:textId="77777777" w:rsidR="007124F4" w:rsidRPr="00BD5697" w:rsidRDefault="007124F4" w:rsidP="006A5040">
      <w:pPr>
        <w:pStyle w:val="Level3Body"/>
      </w:pPr>
    </w:p>
    <w:p w14:paraId="00C12CDC" w14:textId="38654575" w:rsidR="007124F4" w:rsidRPr="00BD5697" w:rsidRDefault="003C4C4A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5A1785E" wp14:editId="18C428FE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635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7F752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0DE2A959" w14:textId="77777777" w:rsidR="007124F4" w:rsidRPr="00BD5697" w:rsidRDefault="007124F4" w:rsidP="002E4E3B">
      <w:pPr>
        <w:pStyle w:val="Level1Body"/>
        <w:sectPr w:rsidR="007124F4" w:rsidRPr="00BD5697" w:rsidSect="006F54A4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</w:p>
    <w:p w14:paraId="4B87825D" w14:textId="1C1D8015" w:rsidR="00FC03CF" w:rsidRPr="00BD5697" w:rsidRDefault="00CE1EA3" w:rsidP="002E0890">
      <w:pPr>
        <w:pStyle w:val="Heading4"/>
      </w:pPr>
      <w:r>
        <w:t xml:space="preserve">Revised </w:t>
      </w:r>
      <w:r w:rsidR="00FC03CF" w:rsidRPr="00BD5697">
        <w:t>S</w:t>
      </w:r>
      <w:r w:rsidR="00A44C9E">
        <w:t>chedule of Events</w:t>
      </w:r>
    </w:p>
    <w:p w14:paraId="28A1169F" w14:textId="77777777" w:rsidR="00FC03CF" w:rsidRPr="00BD5697" w:rsidRDefault="00FC03CF" w:rsidP="002E0890">
      <w:pPr>
        <w:pStyle w:val="Level1Body"/>
      </w:pPr>
    </w:p>
    <w:p w14:paraId="46ED920D" w14:textId="3F774065" w:rsidR="0027091D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responsibility </w:t>
      </w:r>
      <w:r w:rsidR="0087063F">
        <w:t xml:space="preserve">of bidders </w:t>
      </w:r>
      <w:r w:rsidR="0027091D">
        <w:t>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14:paraId="2308D0B8" w14:textId="77777777" w:rsidR="00FC03CF" w:rsidRDefault="00FC03CF" w:rsidP="002E0890">
      <w:pPr>
        <w:pStyle w:val="Level1Body"/>
      </w:pPr>
    </w:p>
    <w:bookmarkStart w:id="1" w:name="Text1"/>
    <w:p w14:paraId="243BEE13" w14:textId="77777777" w:rsidR="00A44C9E" w:rsidRDefault="006A5040" w:rsidP="002E0890">
      <w:pPr>
        <w:pStyle w:val="Level1Body"/>
        <w:rPr>
          <w:i/>
        </w:rPr>
      </w:pPr>
      <w:r w:rsidRPr="0087063F">
        <w:rPr>
          <w:i/>
          <w:highlight w:val="green"/>
        </w:rPr>
        <w:fldChar w:fldCharType="begin">
          <w:ffData>
            <w:name w:val="Text1"/>
            <w:enabled/>
            <w:calcOnExit w:val="0"/>
            <w:textInput>
              <w:default w:val="Right Click the first number below and click &quot;Set Numbering Value&quot; to be the corresponding number with what is in the original schedule."/>
            </w:textInput>
          </w:ffData>
        </w:fldChar>
      </w:r>
      <w:r w:rsidRPr="0087063F">
        <w:rPr>
          <w:i/>
          <w:highlight w:val="green"/>
        </w:rPr>
        <w:instrText xml:space="preserve"> FORMTEXT </w:instrText>
      </w:r>
      <w:r w:rsidRPr="0087063F">
        <w:rPr>
          <w:i/>
          <w:highlight w:val="green"/>
        </w:rPr>
      </w:r>
      <w:r w:rsidRPr="0087063F">
        <w:rPr>
          <w:i/>
          <w:highlight w:val="green"/>
        </w:rPr>
        <w:fldChar w:fldCharType="separate"/>
      </w:r>
      <w:r w:rsidR="000A7F6D" w:rsidRPr="0087063F">
        <w:rPr>
          <w:i/>
          <w:noProof/>
          <w:highlight w:val="green"/>
        </w:rPr>
        <w:t>Right Click the first number below and click "Set Numbering Value" to be the corresponding number with what is in the original schedule.</w:t>
      </w:r>
      <w:r w:rsidRPr="0087063F">
        <w:rPr>
          <w:i/>
          <w:highlight w:val="green"/>
        </w:rPr>
        <w:fldChar w:fldCharType="end"/>
      </w:r>
      <w:bookmarkEnd w:id="1"/>
      <w:r w:rsidR="009318A1" w:rsidRPr="0087063F">
        <w:rPr>
          <w:i/>
          <w:highlight w:val="green"/>
        </w:rPr>
        <w:t xml:space="preserve"> </w:t>
      </w:r>
      <w:r w:rsidR="00FC1F14" w:rsidRPr="0087063F">
        <w:rPr>
          <w:i/>
          <w:highlight w:val="green"/>
        </w:rPr>
        <w:t>(</w:t>
      </w:r>
      <w:r w:rsidR="009318A1" w:rsidRPr="0087063F">
        <w:rPr>
          <w:i/>
          <w:highlight w:val="green"/>
        </w:rPr>
        <w:t>Delete these instructions when completed.</w:t>
      </w:r>
      <w:r w:rsidR="00FC1F14" w:rsidRPr="0087063F">
        <w:rPr>
          <w:i/>
          <w:highlight w:val="green"/>
        </w:rPr>
        <w:t>)</w:t>
      </w:r>
    </w:p>
    <w:p w14:paraId="2A291077" w14:textId="77777777" w:rsidR="00446480" w:rsidRPr="00446480" w:rsidRDefault="00446480" w:rsidP="002E0890">
      <w:pPr>
        <w:pStyle w:val="Level1Body"/>
        <w:rPr>
          <w:i/>
        </w:rPr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6268"/>
        <w:gridCol w:w="2898"/>
      </w:tblGrid>
      <w:tr w:rsidR="00A44C9E" w:rsidRPr="00664F27" w14:paraId="20D3F59E" w14:textId="77777777" w:rsidTr="00046E98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4697C9A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DDDCB7A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A44C9E" w:rsidRPr="00664F27" w14:paraId="5F589112" w14:textId="77777777" w:rsidTr="00446480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14:paraId="7E827042" w14:textId="77777777" w:rsidR="00A44C9E" w:rsidRPr="00664F27" w:rsidRDefault="00A44C9E" w:rsidP="002E0890">
            <w:pPr>
              <w:pStyle w:val="rfpformnumbers"/>
            </w:pPr>
            <w:r w:rsidRPr="00664F27">
              <w:t>1</w:t>
            </w:r>
          </w:p>
        </w:tc>
        <w:tc>
          <w:tcPr>
            <w:tcW w:w="6268" w:type="dxa"/>
            <w:tcBorders>
              <w:top w:val="single" w:sz="6" w:space="0" w:color="auto"/>
            </w:tcBorders>
          </w:tcPr>
          <w:p w14:paraId="6D198737" w14:textId="77777777" w:rsidR="00A44C9E" w:rsidRPr="006D6DD0" w:rsidRDefault="00A8383E" w:rsidP="006D6DD0">
            <w:pPr>
              <w:pStyle w:val="Level1Body"/>
              <w:rPr>
                <w:szCs w:val="22"/>
              </w:rPr>
            </w:pPr>
            <w:r w:rsidRPr="006D6D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cheduled event activity to be changed)"/>
                  </w:textInput>
                </w:ffData>
              </w:fldChar>
            </w:r>
            <w:r w:rsidRPr="006D6DD0">
              <w:rPr>
                <w:highlight w:val="yellow"/>
              </w:rPr>
              <w:instrText xml:space="preserve"> FORMTEXT </w:instrText>
            </w:r>
            <w:r w:rsidRPr="006D6DD0">
              <w:rPr>
                <w:highlight w:val="yellow"/>
              </w:rPr>
            </w:r>
            <w:r w:rsidRPr="006D6DD0">
              <w:rPr>
                <w:highlight w:val="yellow"/>
              </w:rPr>
              <w:fldChar w:fldCharType="separate"/>
            </w:r>
            <w:r w:rsidR="000A7F6D">
              <w:rPr>
                <w:noProof/>
                <w:highlight w:val="yellow"/>
              </w:rPr>
              <w:t>(Scheduled event activity to be changed)</w:t>
            </w:r>
            <w:r w:rsidRPr="006D6DD0">
              <w:rPr>
                <w:highlight w:val="yellow"/>
              </w:rPr>
              <w:fldChar w:fldCharType="end"/>
            </w:r>
            <w:r w:rsidR="00A44C9E" w:rsidRPr="006D6DD0">
              <w:rPr>
                <w:szCs w:val="22"/>
              </w:rPr>
              <w:t>.</w:t>
            </w:r>
          </w:p>
        </w:tc>
        <w:tc>
          <w:tcPr>
            <w:tcW w:w="2898" w:type="dxa"/>
            <w:tcBorders>
              <w:top w:val="single" w:sz="6" w:space="0" w:color="auto"/>
            </w:tcBorders>
          </w:tcPr>
          <w:p w14:paraId="076530E9" w14:textId="77777777" w:rsidR="00A44C9E" w:rsidRPr="00773BDE" w:rsidRDefault="00A44C9E" w:rsidP="00773BDE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  <w:r w:rsidRPr="00773BDE">
              <w:rPr>
                <w:rFonts w:ascii="Arial Bold" w:hAnsi="Arial Bold"/>
                <w:b/>
                <w:bCs/>
                <w:strike/>
              </w:rPr>
              <w:t>Line thru old date</w:t>
            </w:r>
          </w:p>
          <w:p w14:paraId="50120BB9" w14:textId="77777777" w:rsidR="00A44C9E" w:rsidRPr="00773BDE" w:rsidRDefault="00A44C9E" w:rsidP="00773BDE">
            <w:pPr>
              <w:jc w:val="center"/>
              <w:rPr>
                <w:b/>
                <w:bCs/>
                <w:color w:val="FF0000"/>
              </w:rPr>
            </w:pPr>
            <w:r w:rsidRPr="00773BDE">
              <w:rPr>
                <w:b/>
                <w:bCs/>
                <w:color w:val="FF0000"/>
              </w:rPr>
              <w:t xml:space="preserve">Enter new date in </w:t>
            </w:r>
            <w:r w:rsidR="00773BDE" w:rsidRPr="00773BDE">
              <w:rPr>
                <w:b/>
                <w:bCs/>
                <w:color w:val="FF0000"/>
              </w:rPr>
              <w:t>Red</w:t>
            </w:r>
            <w:r w:rsidRPr="00773BDE">
              <w:rPr>
                <w:b/>
                <w:bCs/>
                <w:color w:val="FF0000"/>
              </w:rPr>
              <w:t xml:space="preserve"> </w:t>
            </w:r>
          </w:p>
        </w:tc>
      </w:tr>
      <w:tr w:rsidR="00A44C9E" w:rsidRPr="00664F27" w14:paraId="2BBB6EB3" w14:textId="77777777" w:rsidTr="00603A1B">
        <w:trPr>
          <w:cantSplit/>
          <w:jc w:val="center"/>
        </w:trPr>
        <w:tc>
          <w:tcPr>
            <w:tcW w:w="346" w:type="dxa"/>
            <w:tcBorders>
              <w:bottom w:val="single" w:sz="8" w:space="0" w:color="auto"/>
            </w:tcBorders>
          </w:tcPr>
          <w:p w14:paraId="63C249B6" w14:textId="77777777" w:rsidR="00A44C9E" w:rsidRPr="00664F27" w:rsidRDefault="00A44C9E" w:rsidP="002E0890">
            <w:pPr>
              <w:pStyle w:val="rfpformnumbers"/>
            </w:pPr>
          </w:p>
        </w:tc>
        <w:tc>
          <w:tcPr>
            <w:tcW w:w="6268" w:type="dxa"/>
            <w:tcBorders>
              <w:bottom w:val="single" w:sz="8" w:space="0" w:color="auto"/>
            </w:tcBorders>
          </w:tcPr>
          <w:p w14:paraId="2F92B3B8" w14:textId="77777777" w:rsidR="00A44C9E" w:rsidRPr="006D6DD0" w:rsidRDefault="00A44C9E" w:rsidP="006D6DD0">
            <w:pPr>
              <w:pStyle w:val="Level1Body"/>
            </w:pPr>
          </w:p>
        </w:tc>
        <w:tc>
          <w:tcPr>
            <w:tcW w:w="2898" w:type="dxa"/>
            <w:tcBorders>
              <w:bottom w:val="single" w:sz="8" w:space="0" w:color="auto"/>
            </w:tcBorders>
          </w:tcPr>
          <w:p w14:paraId="2A056333" w14:textId="77777777" w:rsidR="00A44C9E" w:rsidRPr="00664F27" w:rsidRDefault="00A44C9E" w:rsidP="00773BDE">
            <w:pPr>
              <w:pStyle w:val="Level1Body"/>
            </w:pPr>
          </w:p>
        </w:tc>
      </w:tr>
      <w:tr w:rsidR="00A44C9E" w:rsidRPr="00664F27" w14:paraId="1D6D129A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50929454" w14:textId="77777777" w:rsidR="00A44C9E" w:rsidRPr="00664F27" w:rsidRDefault="00A44C9E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22514969" w14:textId="77777777" w:rsidR="00A44C9E" w:rsidRPr="006D6DD0" w:rsidRDefault="00A44C9E" w:rsidP="006D6DD0">
            <w:pPr>
              <w:pStyle w:val="Level1Body"/>
            </w:pP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237A1464" w14:textId="77777777" w:rsidR="00A44C9E" w:rsidRPr="00664F27" w:rsidRDefault="00A44C9E" w:rsidP="00773BDE">
            <w:pPr>
              <w:pStyle w:val="Level1Body"/>
            </w:pPr>
          </w:p>
        </w:tc>
      </w:tr>
    </w:tbl>
    <w:p w14:paraId="7C6F625A" w14:textId="77777777" w:rsidR="00A44C9E" w:rsidRPr="00BD5697" w:rsidRDefault="00A44C9E" w:rsidP="002E4E3B">
      <w:pPr>
        <w:pStyle w:val="Level1Body"/>
      </w:pPr>
    </w:p>
    <w:p w14:paraId="581D10AD" w14:textId="77777777" w:rsidR="00FC03CF" w:rsidRPr="00BD5697" w:rsidRDefault="00FC03CF" w:rsidP="002E4E3B">
      <w:pPr>
        <w:pStyle w:val="Level1Body"/>
      </w:pPr>
    </w:p>
    <w:p w14:paraId="1493940B" w14:textId="77777777" w:rsidR="00762458" w:rsidRDefault="00762458" w:rsidP="00762458">
      <w:r w:rsidRPr="00985AE2">
        <w:t>This addendum will be</w:t>
      </w:r>
      <w:r>
        <w:t xml:space="preserve"> incorporated into </w:t>
      </w:r>
      <w:r w:rsidRPr="00985AE2">
        <w:t xml:space="preserve">the </w:t>
      </w:r>
      <w:r>
        <w:t>solicitation.</w:t>
      </w:r>
    </w:p>
    <w:p w14:paraId="7DEA7695" w14:textId="77777777" w:rsidR="00D478E0" w:rsidRDefault="00D478E0" w:rsidP="00FE0CB5"/>
    <w:p w14:paraId="26D4327C" w14:textId="77777777" w:rsidR="00D478E0" w:rsidRDefault="00D478E0" w:rsidP="00FE0CB5"/>
    <w:sectPr w:rsidR="00D478E0" w:rsidSect="00897704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C5C4" w14:textId="77777777" w:rsidR="00CA6C92" w:rsidRDefault="00CA6C92">
      <w:r>
        <w:separator/>
      </w:r>
    </w:p>
  </w:endnote>
  <w:endnote w:type="continuationSeparator" w:id="0">
    <w:p w14:paraId="2A4C9C67" w14:textId="77777777" w:rsidR="00CA6C92" w:rsidRDefault="00CA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79DC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9014" w14:textId="4D10EB73" w:rsidR="00762458" w:rsidRDefault="00762458" w:rsidP="00762458">
    <w:pPr>
      <w:pStyle w:val="Footer"/>
      <w:keepLines/>
      <w:widowControl w:val="0"/>
      <w:jc w:val="right"/>
      <w:rPr>
        <w:i/>
        <w:color w:val="808080" w:themeColor="background1" w:themeShade="80"/>
        <w:sz w:val="16"/>
        <w:szCs w:val="16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41715D" w:rsidRPr="00762458">
      <w:rPr>
        <w:i/>
        <w:color w:val="808080" w:themeColor="background1" w:themeShade="80"/>
        <w:sz w:val="16"/>
        <w:szCs w:val="16"/>
      </w:rPr>
      <w:tab/>
    </w:r>
    <w:r w:rsidR="0041715D" w:rsidRPr="00762458">
      <w:rPr>
        <w:i/>
        <w:color w:val="808080" w:themeColor="background1" w:themeShade="80"/>
        <w:sz w:val="16"/>
        <w:szCs w:val="16"/>
      </w:rPr>
      <w:tab/>
    </w:r>
    <w:r w:rsidRPr="00762458">
      <w:rPr>
        <w:i/>
        <w:color w:val="808080" w:themeColor="background1" w:themeShade="80"/>
        <w:sz w:val="16"/>
        <w:szCs w:val="16"/>
      </w:rPr>
      <w:t>ADDENDUM</w:t>
    </w:r>
    <w:r w:rsidR="001267DB">
      <w:rPr>
        <w:i/>
        <w:color w:val="808080" w:themeColor="background1" w:themeShade="80"/>
        <w:sz w:val="16"/>
        <w:szCs w:val="16"/>
      </w:rPr>
      <w:t>:</w:t>
    </w:r>
    <w:r w:rsidRPr="00762458">
      <w:rPr>
        <w:i/>
        <w:color w:val="808080" w:themeColor="background1" w:themeShade="80"/>
        <w:sz w:val="16"/>
        <w:szCs w:val="16"/>
      </w:rPr>
      <w:t>REVISED SCHEDULE OF EVENTS</w:t>
    </w:r>
  </w:p>
  <w:p w14:paraId="3BE3914F" w14:textId="25A470A7" w:rsidR="0041715D" w:rsidRPr="00762458" w:rsidRDefault="00415B52" w:rsidP="00762458">
    <w:pPr>
      <w:pStyle w:val="Footer"/>
      <w:keepLines/>
      <w:widowControl w:val="0"/>
      <w:jc w:val="righ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 xml:space="preserve">SPB Form </w:t>
    </w:r>
    <w:r w:rsidR="0041715D" w:rsidRPr="00762458">
      <w:rPr>
        <w:i/>
        <w:color w:val="808080" w:themeColor="background1" w:themeShade="80"/>
        <w:sz w:val="16"/>
        <w:szCs w:val="16"/>
      </w:rPr>
      <w:t>GS-</w:t>
    </w:r>
    <w:r w:rsidR="0068495C">
      <w:rPr>
        <w:i/>
        <w:color w:val="808080" w:themeColor="background1" w:themeShade="80"/>
        <w:sz w:val="16"/>
        <w:szCs w:val="16"/>
      </w:rPr>
      <w:t>9</w:t>
    </w:r>
  </w:p>
  <w:p w14:paraId="244A5021" w14:textId="690684DA" w:rsidR="0041715D" w:rsidRPr="00762458" w:rsidRDefault="0041715D" w:rsidP="00762458">
    <w:pPr>
      <w:pStyle w:val="Footer"/>
      <w:keepLines/>
      <w:widowControl w:val="0"/>
      <w:jc w:val="right"/>
      <w:rPr>
        <w:i/>
        <w:color w:val="808080" w:themeColor="background1" w:themeShade="80"/>
        <w:sz w:val="16"/>
        <w:szCs w:val="16"/>
      </w:rPr>
    </w:pPr>
    <w:r w:rsidRPr="00762458">
      <w:rPr>
        <w:i/>
        <w:color w:val="808080" w:themeColor="background1" w:themeShade="80"/>
        <w:sz w:val="16"/>
        <w:szCs w:val="16"/>
      </w:rPr>
      <w:tab/>
    </w:r>
    <w:r w:rsidRPr="00762458">
      <w:rPr>
        <w:i/>
        <w:color w:val="808080" w:themeColor="background1" w:themeShade="80"/>
        <w:sz w:val="16"/>
        <w:szCs w:val="16"/>
      </w:rPr>
      <w:tab/>
      <w:t xml:space="preserve">Rev. </w:t>
    </w:r>
    <w:r w:rsidR="003111D1">
      <w:rPr>
        <w:i/>
        <w:color w:val="808080" w:themeColor="background1" w:themeShade="80"/>
        <w:sz w:val="16"/>
        <w:szCs w:val="16"/>
      </w:rPr>
      <w:t>5-1-2024</w:t>
    </w:r>
  </w:p>
  <w:p w14:paraId="28ED4456" w14:textId="103F12E9" w:rsidR="0041715D" w:rsidRPr="00EC6AC8" w:rsidRDefault="0041715D" w:rsidP="00EC6AC8">
    <w:pPr>
      <w:pStyle w:val="Footer"/>
      <w:keepLines/>
      <w:widowControl w:val="0"/>
      <w:jc w:val="right"/>
      <w:rPr>
        <w:i/>
        <w:color w:val="808080" w:themeColor="background1" w:themeShade="80"/>
        <w:sz w:val="16"/>
        <w:szCs w:val="16"/>
      </w:rPr>
    </w:pPr>
    <w:r w:rsidRPr="00762458">
      <w:rPr>
        <w:i/>
        <w:color w:val="808080" w:themeColor="background1" w:themeShade="80"/>
        <w:sz w:val="16"/>
        <w:szCs w:val="16"/>
      </w:rPr>
      <w:tab/>
    </w:r>
    <w:r w:rsidRPr="00762458">
      <w:rPr>
        <w:i/>
        <w:color w:val="808080" w:themeColor="background1" w:themeShade="80"/>
        <w:sz w:val="16"/>
        <w:szCs w:val="16"/>
      </w:rPr>
      <w:tab/>
      <w:t>State Purchasing Bureau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394E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 xml:space="preserve">Revised </w:t>
    </w:r>
    <w:proofErr w:type="gramStart"/>
    <w:r w:rsidRPr="004B36C5">
      <w:rPr>
        <w:sz w:val="16"/>
        <w:szCs w:val="16"/>
      </w:rPr>
      <w:t>07/31/08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8644" w14:textId="77777777" w:rsidR="00CA6C92" w:rsidRDefault="00CA6C92">
      <w:r>
        <w:separator/>
      </w:r>
    </w:p>
  </w:footnote>
  <w:footnote w:type="continuationSeparator" w:id="0">
    <w:p w14:paraId="317F9809" w14:textId="77777777" w:rsidR="00CA6C92" w:rsidRDefault="00CA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03990664">
    <w:abstractNumId w:val="13"/>
  </w:num>
  <w:num w:numId="2" w16cid:durableId="1744134330">
    <w:abstractNumId w:val="23"/>
  </w:num>
  <w:num w:numId="3" w16cid:durableId="1316686347">
    <w:abstractNumId w:val="27"/>
  </w:num>
  <w:num w:numId="4" w16cid:durableId="1111124282">
    <w:abstractNumId w:val="11"/>
  </w:num>
  <w:num w:numId="5" w16cid:durableId="1332292273">
    <w:abstractNumId w:val="29"/>
  </w:num>
  <w:num w:numId="6" w16cid:durableId="2079936937">
    <w:abstractNumId w:val="32"/>
  </w:num>
  <w:num w:numId="7" w16cid:durableId="639924186">
    <w:abstractNumId w:val="16"/>
  </w:num>
  <w:num w:numId="8" w16cid:durableId="1474130734">
    <w:abstractNumId w:val="12"/>
  </w:num>
  <w:num w:numId="9" w16cid:durableId="1951468626">
    <w:abstractNumId w:val="28"/>
  </w:num>
  <w:num w:numId="10" w16cid:durableId="235281785">
    <w:abstractNumId w:val="20"/>
  </w:num>
  <w:num w:numId="11" w16cid:durableId="1416246794">
    <w:abstractNumId w:val="17"/>
  </w:num>
  <w:num w:numId="12" w16cid:durableId="1686636150">
    <w:abstractNumId w:val="21"/>
  </w:num>
  <w:num w:numId="13" w16cid:durableId="2134640211">
    <w:abstractNumId w:val="25"/>
  </w:num>
  <w:num w:numId="14" w16cid:durableId="1821337503">
    <w:abstractNumId w:val="31"/>
  </w:num>
  <w:num w:numId="15" w16cid:durableId="406414778">
    <w:abstractNumId w:val="10"/>
  </w:num>
  <w:num w:numId="16" w16cid:durableId="758793105">
    <w:abstractNumId w:val="26"/>
  </w:num>
  <w:num w:numId="17" w16cid:durableId="1586761036">
    <w:abstractNumId w:val="24"/>
  </w:num>
  <w:num w:numId="18" w16cid:durableId="777219685">
    <w:abstractNumId w:val="14"/>
  </w:num>
  <w:num w:numId="19" w16cid:durableId="1044788605">
    <w:abstractNumId w:val="15"/>
  </w:num>
  <w:num w:numId="20" w16cid:durableId="1378550044">
    <w:abstractNumId w:val="30"/>
  </w:num>
  <w:num w:numId="21" w16cid:durableId="947660224">
    <w:abstractNumId w:val="22"/>
  </w:num>
  <w:num w:numId="22" w16cid:durableId="2011591655">
    <w:abstractNumId w:val="9"/>
  </w:num>
  <w:num w:numId="23" w16cid:durableId="695352405">
    <w:abstractNumId w:val="7"/>
  </w:num>
  <w:num w:numId="24" w16cid:durableId="498811184">
    <w:abstractNumId w:val="6"/>
  </w:num>
  <w:num w:numId="25" w16cid:durableId="938878954">
    <w:abstractNumId w:val="5"/>
  </w:num>
  <w:num w:numId="26" w16cid:durableId="1964145025">
    <w:abstractNumId w:val="4"/>
  </w:num>
  <w:num w:numId="27" w16cid:durableId="331301184">
    <w:abstractNumId w:val="8"/>
  </w:num>
  <w:num w:numId="28" w16cid:durableId="1850680386">
    <w:abstractNumId w:val="3"/>
  </w:num>
  <w:num w:numId="29" w16cid:durableId="1565213053">
    <w:abstractNumId w:val="2"/>
  </w:num>
  <w:num w:numId="30" w16cid:durableId="969362718">
    <w:abstractNumId w:val="1"/>
  </w:num>
  <w:num w:numId="31" w16cid:durableId="159850414">
    <w:abstractNumId w:val="0"/>
  </w:num>
  <w:num w:numId="32" w16cid:durableId="459617495">
    <w:abstractNumId w:val="18"/>
  </w:num>
  <w:num w:numId="33" w16cid:durableId="139736467">
    <w:abstractNumId w:val="18"/>
  </w:num>
  <w:num w:numId="34" w16cid:durableId="1867214999">
    <w:abstractNumId w:val="18"/>
  </w:num>
  <w:num w:numId="35" w16cid:durableId="1957133900">
    <w:abstractNumId w:val="18"/>
  </w:num>
  <w:num w:numId="36" w16cid:durableId="980115171">
    <w:abstractNumId w:val="18"/>
  </w:num>
  <w:num w:numId="37" w16cid:durableId="329405030">
    <w:abstractNumId w:val="18"/>
  </w:num>
  <w:num w:numId="38" w16cid:durableId="21713155">
    <w:abstractNumId w:val="18"/>
  </w:num>
  <w:num w:numId="39" w16cid:durableId="1170290648">
    <w:abstractNumId w:val="19"/>
  </w:num>
  <w:num w:numId="40" w16cid:durableId="8740010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46E98"/>
    <w:rsid w:val="00053790"/>
    <w:rsid w:val="000A0B7C"/>
    <w:rsid w:val="000A7F6D"/>
    <w:rsid w:val="000C4C56"/>
    <w:rsid w:val="001267DB"/>
    <w:rsid w:val="00156FB7"/>
    <w:rsid w:val="00184504"/>
    <w:rsid w:val="001B7621"/>
    <w:rsid w:val="001D691B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111D1"/>
    <w:rsid w:val="003430E8"/>
    <w:rsid w:val="00374BE2"/>
    <w:rsid w:val="003C0E74"/>
    <w:rsid w:val="003C4C4A"/>
    <w:rsid w:val="003E3093"/>
    <w:rsid w:val="003F21C7"/>
    <w:rsid w:val="00415B52"/>
    <w:rsid w:val="0041715D"/>
    <w:rsid w:val="00433F6F"/>
    <w:rsid w:val="00446480"/>
    <w:rsid w:val="00446D8B"/>
    <w:rsid w:val="004B7179"/>
    <w:rsid w:val="00547BB3"/>
    <w:rsid w:val="0058191C"/>
    <w:rsid w:val="00585C87"/>
    <w:rsid w:val="005D1FF3"/>
    <w:rsid w:val="00603A1B"/>
    <w:rsid w:val="0068495C"/>
    <w:rsid w:val="006A5040"/>
    <w:rsid w:val="006D6DD0"/>
    <w:rsid w:val="006F54A4"/>
    <w:rsid w:val="007124F4"/>
    <w:rsid w:val="007237A1"/>
    <w:rsid w:val="00731D0A"/>
    <w:rsid w:val="00736F52"/>
    <w:rsid w:val="00744C0B"/>
    <w:rsid w:val="00754004"/>
    <w:rsid w:val="00762458"/>
    <w:rsid w:val="00773BDE"/>
    <w:rsid w:val="007C187D"/>
    <w:rsid w:val="00802B3C"/>
    <w:rsid w:val="00856BA1"/>
    <w:rsid w:val="0086338A"/>
    <w:rsid w:val="0087063F"/>
    <w:rsid w:val="00897704"/>
    <w:rsid w:val="008A04EF"/>
    <w:rsid w:val="009318A1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BF4866"/>
    <w:rsid w:val="00C247EF"/>
    <w:rsid w:val="00C2659A"/>
    <w:rsid w:val="00C3059B"/>
    <w:rsid w:val="00CA6C92"/>
    <w:rsid w:val="00CE1EA3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432A3"/>
    <w:rsid w:val="00E4723E"/>
    <w:rsid w:val="00E80044"/>
    <w:rsid w:val="00EC52C4"/>
    <w:rsid w:val="00EC6AC8"/>
    <w:rsid w:val="00F75DF9"/>
    <w:rsid w:val="00F91450"/>
    <w:rsid w:val="00FC03CF"/>
    <w:rsid w:val="00FC1F14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3624983C"/>
  <w15:docId w15:val="{A8837C68-504D-43A7-9BAD-DB928C07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56B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56B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F188-B658-4A80-B6C7-5EF908E3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Sommars-Link, Jennifer</cp:lastModifiedBy>
  <cp:revision>17</cp:revision>
  <cp:lastPrinted>2024-05-03T22:56:00Z</cp:lastPrinted>
  <dcterms:created xsi:type="dcterms:W3CDTF">2023-11-14T19:22:00Z</dcterms:created>
  <dcterms:modified xsi:type="dcterms:W3CDTF">2024-05-03T22:56:00Z</dcterms:modified>
</cp:coreProperties>
</file>